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65" w:rsidRPr="006F57B4" w:rsidRDefault="00013E65" w:rsidP="00013E65">
      <w:pPr>
        <w:jc w:val="center"/>
        <w:rPr>
          <w:b/>
        </w:rPr>
      </w:pPr>
      <w:r w:rsidRPr="00013E65">
        <w:rPr>
          <w:b/>
          <w:sz w:val="25"/>
          <w:szCs w:val="25"/>
        </w:rPr>
        <w:t>WYMAGANIA EDUKACYJNE Z CHEMII NA POSZCZEGÓLNE OCENY W KLASIE VII</w:t>
      </w:r>
      <w:r>
        <w:rPr>
          <w:b/>
          <w:sz w:val="25"/>
          <w:szCs w:val="25"/>
        </w:rPr>
        <w:t>I</w:t>
      </w:r>
      <w:r w:rsidRPr="00013E65">
        <w:rPr>
          <w:b/>
          <w:sz w:val="25"/>
          <w:szCs w:val="25"/>
        </w:rPr>
        <w:t xml:space="preserve"> SZKOŁY PODSTAWOWEJ</w:t>
      </w:r>
      <w:r w:rsidRPr="00013E65">
        <w:rPr>
          <w:b/>
        </w:rPr>
        <w:t xml:space="preserve"> </w:t>
      </w:r>
      <w:r>
        <w:rPr>
          <w:b/>
        </w:rPr>
        <w:t>przygotowane</w:t>
      </w:r>
      <w:r w:rsidRPr="004413CF">
        <w:rPr>
          <w:b/>
        </w:rPr>
        <w:t xml:space="preserve"> na podstawie treści zawartych w podstawie programowej, programie nauczania or</w:t>
      </w:r>
      <w:r>
        <w:rPr>
          <w:b/>
        </w:rPr>
        <w:t>az podręczniku dla klasy ósmej</w:t>
      </w:r>
      <w:r w:rsidRPr="004413CF">
        <w:rPr>
          <w:b/>
        </w:rPr>
        <w:t xml:space="preserve"> szkoły podstawowej </w:t>
      </w:r>
      <w:r w:rsidRPr="004413CF">
        <w:rPr>
          <w:b/>
          <w:i/>
        </w:rPr>
        <w:t>Chemia Nowej Ery</w:t>
      </w:r>
    </w:p>
    <w:p w:rsidR="00D0104A" w:rsidRDefault="00D0104A" w:rsidP="003072C4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8F54EE" w:rsidTr="00F94C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8F54EE" w:rsidP="007C0D1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 w:rsidP="009F693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F94C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sz w:val="18"/>
                <w:szCs w:val="18"/>
              </w:rPr>
              <w:lastRenderedPageBreak/>
              <w:t>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pH</w:t>
            </w:r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</w:t>
            </w:r>
            <w:r w:rsidR="00C13347" w:rsidRPr="0066775D">
              <w:rPr>
                <w:b/>
                <w:bCs/>
                <w:sz w:val="18"/>
                <w:szCs w:val="18"/>
              </w:rPr>
              <w:lastRenderedPageBreak/>
              <w:t xml:space="preserve">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013E65" w:rsidRPr="00FD353C" w:rsidRDefault="00013E65" w:rsidP="00013E65">
      <w:pPr>
        <w:rPr>
          <w:sz w:val="28"/>
          <w:szCs w:val="28"/>
        </w:rPr>
      </w:pPr>
      <w:r w:rsidRPr="00FD353C">
        <w:rPr>
          <w:sz w:val="28"/>
          <w:szCs w:val="28"/>
        </w:rPr>
        <w:t>Ocenę celującą otrzymuje uczeń, który opanował co najmniej 97% materiału.</w:t>
      </w:r>
    </w:p>
    <w:p w:rsidR="006376D7" w:rsidRDefault="006376D7" w:rsidP="00791B0C"/>
    <w:p w:rsidR="00BD7CD6" w:rsidRDefault="00BD7CD6" w:rsidP="00BD7CD6"/>
    <w:p w:rsidR="004B1358" w:rsidRPr="00BD7CD6" w:rsidRDefault="004B1358" w:rsidP="00BD7CD6">
      <w:pPr>
        <w:sectPr w:rsidR="004B1358" w:rsidRPr="00BD7CD6" w:rsidSect="004B1358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8F54EE" w:rsidRPr="00AD5F0A" w:rsidTr="00F94C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F94C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2376BB" w:rsidP="000969BE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="00436C2D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Cs/>
                <w:color w:val="000000"/>
                <w:sz w:val="18"/>
                <w:szCs w:val="18"/>
              </w:rPr>
              <w:t>przykłady</w:t>
            </w:r>
            <w:r w:rsidR="00436C2D" w:rsidRPr="00BC42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Pr="00BC429F" w:rsidRDefault="00200582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r w:rsidR="00A22828" w:rsidRPr="00F94C77">
              <w:rPr>
                <w:sz w:val="18"/>
                <w:szCs w:val="18"/>
              </w:rPr>
              <w:t>strąceniowych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2638D4" w:rsidRPr="00AD5F0A" w:rsidRDefault="002638D4" w:rsidP="00F94C77">
      <w:pPr>
        <w:rPr>
          <w:b/>
          <w:bCs/>
          <w:sz w:val="18"/>
          <w:szCs w:val="18"/>
        </w:rPr>
      </w:pPr>
    </w:p>
    <w:p w:rsidR="00401CBC" w:rsidRPr="00BC429F" w:rsidRDefault="00013E65" w:rsidP="00F94C77">
      <w:pPr>
        <w:shd w:val="clear" w:color="auto" w:fill="FFFFFF"/>
        <w:rPr>
          <w:b/>
          <w:lang w:eastAsia="en-US"/>
        </w:rPr>
      </w:pPr>
      <w:r w:rsidRPr="00FD353C">
        <w:rPr>
          <w:sz w:val="28"/>
          <w:szCs w:val="28"/>
        </w:rPr>
        <w:t>Ocenę celującą otrzymuje uczeń, który opanował co najmniej 97% materiału.</w:t>
      </w:r>
      <w:r w:rsidR="00F94C77">
        <w:rPr>
          <w:sz w:val="18"/>
          <w:szCs w:val="18"/>
        </w:rPr>
        <w:br w:type="page"/>
      </w:r>
      <w:r w:rsidR="00A858BB">
        <w:rPr>
          <w:b/>
          <w:lang w:eastAsia="en-US"/>
        </w:rPr>
        <w:lastRenderedPageBreak/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AA3E94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zapisuje równania reakcji spalania całkowitego 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401CBC" w:rsidRPr="0076138E" w:rsidRDefault="00013E65" w:rsidP="00AA3E94">
      <w:pPr>
        <w:shd w:val="clear" w:color="auto" w:fill="FFFFFF"/>
        <w:rPr>
          <w:rFonts w:eastAsia="Calibri"/>
          <w:b/>
          <w:bCs/>
          <w:lang w:eastAsia="en-US"/>
        </w:rPr>
      </w:pPr>
      <w:r w:rsidRPr="00FD353C">
        <w:rPr>
          <w:sz w:val="28"/>
          <w:szCs w:val="28"/>
        </w:rPr>
        <w:lastRenderedPageBreak/>
        <w:t>Ocenę celującą otrzymuje uczeń, który opanował co najmniej 97% materiału.</w:t>
      </w:r>
      <w:r w:rsidR="00AA3E94"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0361" w:rsidRPr="005238E9">
              <w:rPr>
                <w:b/>
                <w:sz w:val="18"/>
                <w:szCs w:val="18"/>
              </w:rPr>
              <w:t xml:space="preserve">monohydroksylowych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="00251B50" w:rsidRP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76138E" w:rsidRDefault="00013E65" w:rsidP="00AA3E94">
      <w:pPr>
        <w:shd w:val="clear" w:color="auto" w:fill="FFFFFF"/>
        <w:rPr>
          <w:rFonts w:eastAsia="Calibri"/>
          <w:b/>
          <w:bCs/>
          <w:lang w:eastAsia="en-US"/>
        </w:rPr>
      </w:pPr>
      <w:r w:rsidRPr="00FD353C">
        <w:rPr>
          <w:sz w:val="28"/>
          <w:szCs w:val="28"/>
        </w:rPr>
        <w:lastRenderedPageBreak/>
        <w:t>Ocenę celującą otrzymuje uczeń, który opanował co najmniej 97% materiału.</w:t>
      </w:r>
      <w:r w:rsidR="00AA3E94"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01CBC" w:rsidRPr="00401CBC" w:rsidTr="002C5BA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791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42200D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01CBC" w:rsidRPr="00401CBC" w:rsidRDefault="00401CBC" w:rsidP="00401CBC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8F54EE" w:rsidRPr="00181149" w:rsidRDefault="00013E65">
      <w:pPr>
        <w:shd w:val="clear" w:color="auto" w:fill="FFFFFF"/>
        <w:ind w:right="19"/>
        <w:rPr>
          <w:color w:val="FF0000"/>
          <w:sz w:val="2"/>
          <w:szCs w:val="2"/>
        </w:rPr>
      </w:pPr>
      <w:r w:rsidRPr="00FD353C">
        <w:rPr>
          <w:sz w:val="28"/>
          <w:szCs w:val="28"/>
        </w:rPr>
        <w:t>Ocenę celującą otrzymuje uczeń, który opanował co najmniej 97% materiału.</w:t>
      </w:r>
    </w:p>
    <w:sectPr w:rsidR="008F54EE" w:rsidRPr="00181149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65" w:rsidRDefault="00812465">
      <w:r>
        <w:separator/>
      </w:r>
    </w:p>
  </w:endnote>
  <w:endnote w:type="continuationSeparator" w:id="0">
    <w:p w:rsidR="00812465" w:rsidRDefault="0081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13E65">
      <w:rPr>
        <w:rStyle w:val="Numerstrony"/>
      </w:rPr>
      <w:fldChar w:fldCharType="separate"/>
    </w:r>
    <w:r w:rsidR="00013E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77" w:rsidRDefault="00F94C77" w:rsidP="00013E65">
    <w:pPr>
      <w:pStyle w:val="Stopka"/>
    </w:pPr>
    <w:fldSimple w:instr="PAGE   \* MERGEFORMAT">
      <w:r w:rsidR="00013E65">
        <w:rPr>
          <w:noProof/>
        </w:rPr>
        <w:t>1</w:t>
      </w:r>
    </w:fldSimple>
  </w:p>
  <w:p w:rsidR="00DF3BA5" w:rsidRDefault="00DF3BA5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65" w:rsidRDefault="00812465">
      <w:r>
        <w:separator/>
      </w:r>
    </w:p>
  </w:footnote>
  <w:footnote w:type="continuationSeparator" w:id="0">
    <w:p w:rsidR="00812465" w:rsidRDefault="0081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15pt;height:28.45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142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2"/>
    <w:rsid w:val="00004FFE"/>
    <w:rsid w:val="00005CF6"/>
    <w:rsid w:val="00013E65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78A8"/>
    <w:rsid w:val="00380875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2465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F3BA5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7D22-DB74-425A-8BC1-11DC5EE3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3526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Dominika</cp:lastModifiedBy>
  <cp:revision>2</cp:revision>
  <cp:lastPrinted>2018-03-14T13:54:00Z</cp:lastPrinted>
  <dcterms:created xsi:type="dcterms:W3CDTF">2018-09-24T13:15:00Z</dcterms:created>
  <dcterms:modified xsi:type="dcterms:W3CDTF">2018-09-24T13:15:00Z</dcterms:modified>
</cp:coreProperties>
</file>